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9F7A" w14:textId="77777777" w:rsidR="007C0DA6" w:rsidRDefault="007C0DA6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</w:p>
    <w:p w14:paraId="369319B1" w14:textId="4AEBBBC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OCDE</w:t>
      </w:r>
    </w:p>
    <w:p w14:paraId="2555C3A8" w14:textId="77777777" w:rsidR="007C0DA6" w:rsidRDefault="007C0DA6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</w:p>
    <w:p w14:paraId="444D645B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¿Qué es el Acuerdo OCDE?</w:t>
      </w:r>
    </w:p>
    <w:p w14:paraId="5775FA6F" w14:textId="4CFA23BD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Es un acuerdo para el intercambio automático de información tributaria firmado por 117 países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(incluida la República Argentina) en el marco de la Organización para la Cooperación y el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Desarrollo Económico. En nuestro país fue implementado a través de la Resolución General Nº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4056/2017 de la ARCA.</w:t>
      </w:r>
    </w:p>
    <w:p w14:paraId="64154C4A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¿Cuál es el objetivo del Acuerdo OCDE firmado por la República Argentina?</w:t>
      </w:r>
    </w:p>
    <w:p w14:paraId="201C962A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El objetivo del Acuerdo OCDE es el de intensificar a nivel global la lucha contra la evasión fiscal.</w:t>
      </w:r>
    </w:p>
    <w:p w14:paraId="03B99696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¿A quién impacta el Acuerdo OCDE?</w:t>
      </w:r>
    </w:p>
    <w:p w14:paraId="0CB6FCC4" w14:textId="4DBA041B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El Acuerdo OCDE tiene un impacto sobre todas las Personas Humanas y Jurídicas sujetas al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pago del impuesto a las ganancias en los 117 países firmantes del acuerdo.</w:t>
      </w:r>
    </w:p>
    <w:p w14:paraId="50351D7B" w14:textId="48BB58D3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¿Cómo impacta el Acuerdo OCDE a los clientes de BACS Administradora de Activos</w:t>
      </w:r>
      <w:r w:rsidR="007C0DA6">
        <w:rPr>
          <w:rFonts w:ascii="Arial-BoldMT" w:hAnsi="Arial-BoldMT" w:cs="Arial-BoldMT"/>
          <w:b/>
          <w:bCs/>
          <w:kern w:val="0"/>
        </w:rPr>
        <w:t xml:space="preserve"> </w:t>
      </w:r>
      <w:r>
        <w:rPr>
          <w:rFonts w:ascii="Arial-BoldMT" w:hAnsi="Arial-BoldMT" w:cs="Arial-BoldMT"/>
          <w:b/>
          <w:bCs/>
          <w:kern w:val="0"/>
        </w:rPr>
        <w:t>SA?</w:t>
      </w:r>
    </w:p>
    <w:p w14:paraId="5E501431" w14:textId="751A8AA2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 partir del 1º de enero de 2016 los clientes nuevos (Personas Humanas y Jurídicas) deberán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declarar si tienen residencia fiscal en el exterior, y en el caso de las Personas Jurídicas deberán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además declarar si tienen controlantes (beneficiarios finales con más del 10% de control de la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sociedad) que sean residentes fiscales en el exterior.</w:t>
      </w:r>
    </w:p>
    <w:p w14:paraId="2CD45A99" w14:textId="79D9E878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Por otra parte, la Entidad deberá identificar clientes existentes al 31 de diciembre de 2015 con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residencia fiscal en el exterior, o (en el caso de las Personas Jurídicas) también con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controlantes con residencia fiscal en el exterior. En ese contexto, es posible que algunos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clientes sean contactados para firmar una Declaración Jurada OCDE.</w:t>
      </w:r>
    </w:p>
    <w:p w14:paraId="3355978D" w14:textId="77777777" w:rsidR="007C0DA6" w:rsidRDefault="007C0DA6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69A470E1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FATCA</w:t>
      </w:r>
    </w:p>
    <w:p w14:paraId="648B44A6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¿Qué es FATCA?</w:t>
      </w:r>
    </w:p>
    <w:p w14:paraId="7569122E" w14:textId="25D52FB9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FATCA, por sus siglas en inglés (</w:t>
      </w:r>
      <w:r>
        <w:rPr>
          <w:rFonts w:ascii="Arial-BoldMT" w:hAnsi="Arial-BoldMT" w:cs="Arial-BoldMT"/>
          <w:b/>
          <w:bCs/>
          <w:kern w:val="0"/>
        </w:rPr>
        <w:t>F</w:t>
      </w:r>
      <w:r>
        <w:rPr>
          <w:rFonts w:ascii="ArialMT" w:hAnsi="ArialMT" w:cs="ArialMT"/>
          <w:kern w:val="0"/>
        </w:rPr>
        <w:t xml:space="preserve">oreign </w:t>
      </w:r>
      <w:r>
        <w:rPr>
          <w:rFonts w:ascii="Arial-BoldMT" w:hAnsi="Arial-BoldMT" w:cs="Arial-BoldMT"/>
          <w:b/>
          <w:bCs/>
          <w:kern w:val="0"/>
        </w:rPr>
        <w:t>A</w:t>
      </w:r>
      <w:r>
        <w:rPr>
          <w:rFonts w:ascii="ArialMT" w:hAnsi="ArialMT" w:cs="ArialMT"/>
          <w:kern w:val="0"/>
        </w:rPr>
        <w:t xml:space="preserve">ccount </w:t>
      </w:r>
      <w:r>
        <w:rPr>
          <w:rFonts w:ascii="Arial-BoldMT" w:hAnsi="Arial-BoldMT" w:cs="Arial-BoldMT"/>
          <w:b/>
          <w:bCs/>
          <w:kern w:val="0"/>
        </w:rPr>
        <w:t>T</w:t>
      </w:r>
      <w:r>
        <w:rPr>
          <w:rFonts w:ascii="ArialMT" w:hAnsi="ArialMT" w:cs="ArialMT"/>
          <w:kern w:val="0"/>
        </w:rPr>
        <w:t xml:space="preserve">ax </w:t>
      </w:r>
      <w:r>
        <w:rPr>
          <w:rFonts w:ascii="Arial-BoldMT" w:hAnsi="Arial-BoldMT" w:cs="Arial-BoldMT"/>
          <w:b/>
          <w:bCs/>
          <w:kern w:val="0"/>
        </w:rPr>
        <w:t>C</w:t>
      </w:r>
      <w:r>
        <w:rPr>
          <w:rFonts w:ascii="ArialMT" w:hAnsi="ArialMT" w:cs="ArialMT"/>
          <w:kern w:val="0"/>
        </w:rPr>
        <w:t xml:space="preserve">ompliance </w:t>
      </w:r>
      <w:r>
        <w:rPr>
          <w:rFonts w:ascii="Arial-BoldMT" w:hAnsi="Arial-BoldMT" w:cs="Arial-BoldMT"/>
          <w:b/>
          <w:bCs/>
          <w:kern w:val="0"/>
        </w:rPr>
        <w:t>A</w:t>
      </w:r>
      <w:r>
        <w:rPr>
          <w:rFonts w:ascii="ArialMT" w:hAnsi="ArialMT" w:cs="ArialMT"/>
          <w:kern w:val="0"/>
        </w:rPr>
        <w:t>ct), fue aprobada por el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gobierno de los Estados Unidos el 18 de Marzo de 2010. FATCA invita a las Instituciones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Financieras Extranjeras (FFIs por sus siglas en inglés) a identificar, reportar y (en algunos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 xml:space="preserve">casos) retener fondos de personas estadounidenses. FATCA </w:t>
      </w:r>
      <w:r w:rsidR="00BD304C">
        <w:rPr>
          <w:rFonts w:ascii="ArialMT" w:hAnsi="ArialMT" w:cs="ArialMT"/>
          <w:kern w:val="0"/>
        </w:rPr>
        <w:t>comenzó</w:t>
      </w:r>
      <w:r>
        <w:rPr>
          <w:rFonts w:ascii="ArialMT" w:hAnsi="ArialMT" w:cs="ArialMT"/>
          <w:kern w:val="0"/>
        </w:rPr>
        <w:t xml:space="preserve"> a regir a partir del 1 de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julio de 2014.</w:t>
      </w:r>
    </w:p>
    <w:p w14:paraId="5AEB7608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¿Cuál es el objetivo de FATCA?</w:t>
      </w:r>
    </w:p>
    <w:p w14:paraId="2705FE7D" w14:textId="523FF50F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El objetivo es detectar e impedir la evasión fiscal de inversiones en el extranjero por parte de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residentes y ciudadanos estadounidenses. Las Instituciones Financieras fuera de Estados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Unidos tienen un incentivo importante para cumplir con esta ley, dado que es la única forma de</w:t>
      </w:r>
      <w:r w:rsidR="007C0DA6">
        <w:rPr>
          <w:rFonts w:ascii="ArialMT" w:hAnsi="ArialMT" w:cs="ArialMT"/>
          <w:kern w:val="0"/>
        </w:rPr>
        <w:t xml:space="preserve"> e</w:t>
      </w:r>
      <w:r>
        <w:rPr>
          <w:rFonts w:ascii="ArialMT" w:hAnsi="ArialMT" w:cs="ArialMT"/>
          <w:kern w:val="0"/>
        </w:rPr>
        <w:t xml:space="preserve">vitar la retención impositiva del 30% sobre cualquier pago recibido de fuente </w:t>
      </w:r>
      <w:r w:rsidR="007C0DA6">
        <w:rPr>
          <w:rFonts w:ascii="ArialMT" w:hAnsi="ArialMT" w:cs="ArialMT"/>
          <w:kern w:val="0"/>
        </w:rPr>
        <w:t xml:space="preserve">estadounidense </w:t>
      </w:r>
      <w:r>
        <w:rPr>
          <w:rFonts w:ascii="ArialMT" w:hAnsi="ArialMT" w:cs="ArialMT"/>
          <w:kern w:val="0"/>
        </w:rPr>
        <w:t>sujeto a retención.</w:t>
      </w:r>
    </w:p>
    <w:p w14:paraId="2C00D196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¿A </w:t>
      </w:r>
      <w:proofErr w:type="spellStart"/>
      <w:r>
        <w:rPr>
          <w:rFonts w:ascii="Arial-BoldMT" w:hAnsi="Arial-BoldMT" w:cs="Arial-BoldMT"/>
          <w:b/>
          <w:bCs/>
          <w:kern w:val="0"/>
        </w:rPr>
        <w:t>quien</w:t>
      </w:r>
      <w:proofErr w:type="spellEnd"/>
      <w:r>
        <w:rPr>
          <w:rFonts w:ascii="Arial-BoldMT" w:hAnsi="Arial-BoldMT" w:cs="Arial-BoldMT"/>
          <w:b/>
          <w:bCs/>
          <w:kern w:val="0"/>
        </w:rPr>
        <w:t xml:space="preserve"> impacta FATCA?</w:t>
      </w:r>
    </w:p>
    <w:p w14:paraId="3675289B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FATCA es un régimen amplio y puede impactar a cualquier persona humana o jurídica,</w:t>
      </w:r>
    </w:p>
    <w:p w14:paraId="7DC6EF8B" w14:textId="44065EB1" w:rsidR="008C4A9A" w:rsidRDefault="00504ED0" w:rsidP="007C0DA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estadounidense o extranjera, en la medida que esa persona esté involucrada en la realización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o recepción de pagos que encuadren dentro del ámbito de FATCA.</w:t>
      </w:r>
    </w:p>
    <w:p w14:paraId="542DD9AD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Las FFI’s deberán cumplir con FATCA de alguna de las siguientes formas:</w:t>
      </w:r>
    </w:p>
    <w:p w14:paraId="134B2FCD" w14:textId="3D53E6EA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1) En países con Acuerdos Intergubernamentales (IGA por sus siglas en inglés) Modelo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1,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las FFI’s deberán cumplir bajo la regulación local y reportar a su autoridad tributaria,</w:t>
      </w:r>
    </w:p>
    <w:p w14:paraId="46757FD9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quien intercambiará información con el Internal Revenue Service (IRS).</w:t>
      </w:r>
    </w:p>
    <w:p w14:paraId="24B68066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2) En países con IGA Modelo 2, las FFI’s deberán cumplir con las regulaciones locales</w:t>
      </w:r>
    </w:p>
    <w:p w14:paraId="0868975C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para entrar en un acuerdo FATCA con el IRS y reportar directamente al IRS. Los</w:t>
      </w:r>
    </w:p>
    <w:p w14:paraId="2F8350C8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requerimientos para el cumplimiento de esta ley están establecidos en el IGA firmado</w:t>
      </w:r>
    </w:p>
    <w:p w14:paraId="5BBED083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por el país.</w:t>
      </w:r>
    </w:p>
    <w:p w14:paraId="61A9DFD4" w14:textId="46C313C0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3) En países que no han firmado un IGA, las FFIs deberán entrar en acuerdos FATCA con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el IRS y reportar directamente a este organismo.</w:t>
      </w:r>
    </w:p>
    <w:p w14:paraId="679FE571" w14:textId="77777777" w:rsidR="007C0DA6" w:rsidRDefault="007C0DA6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24B3ECD9" w14:textId="77777777" w:rsidR="007C0DA6" w:rsidRDefault="007C0DA6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7D15C631" w14:textId="77777777" w:rsidR="007C0DA6" w:rsidRDefault="007C0DA6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797129FD" w14:textId="77777777" w:rsidR="007C0DA6" w:rsidRDefault="007C0DA6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4CFCAF6B" w14:textId="476143C1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¿Cuál es la posición de BACS Administradora de Activos SA?</w:t>
      </w:r>
    </w:p>
    <w:p w14:paraId="004BD549" w14:textId="01EFF54E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La República Argentina ha firmado un Acuerdo FATCA Modelo 1 con los EEUU y </w:t>
      </w:r>
      <w:r>
        <w:rPr>
          <w:rFonts w:ascii="Arial-BoldMT" w:hAnsi="Arial-BoldMT" w:cs="Arial-BoldMT"/>
          <w:b/>
          <w:bCs/>
          <w:kern w:val="0"/>
        </w:rPr>
        <w:t xml:space="preserve">BACSAA </w:t>
      </w:r>
      <w:r>
        <w:rPr>
          <w:rFonts w:ascii="ArialMT" w:hAnsi="ArialMT" w:cs="ArialMT"/>
          <w:kern w:val="0"/>
        </w:rPr>
        <w:t>se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 xml:space="preserve">ha Registrado en FATCA como una </w:t>
      </w:r>
      <w:r w:rsidR="00BD304C">
        <w:rPr>
          <w:rFonts w:ascii="ArialMT" w:hAnsi="ArialMT" w:cs="ArialMT"/>
          <w:kern w:val="0"/>
        </w:rPr>
        <w:t>Institución</w:t>
      </w:r>
      <w:r>
        <w:rPr>
          <w:rFonts w:ascii="ArialMT" w:hAnsi="ArialMT" w:cs="ArialMT"/>
          <w:kern w:val="0"/>
        </w:rPr>
        <w:t xml:space="preserve"> Financiera de Reporte Modelo 1 para </w:t>
      </w:r>
      <w:r w:rsidR="00BD304C">
        <w:rPr>
          <w:rFonts w:ascii="ArialMT" w:hAnsi="ArialMT" w:cs="ArialMT"/>
          <w:kern w:val="0"/>
        </w:rPr>
        <w:t>así</w:t>
      </w:r>
      <w:r>
        <w:rPr>
          <w:rFonts w:ascii="ArialMT" w:hAnsi="ArialMT" w:cs="ArialMT"/>
          <w:kern w:val="0"/>
        </w:rPr>
        <w:t xml:space="preserve"> cumplir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con los requerimientos y obligaciones que nos exige la ARCA de forma de poder continuar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brindando servicios financieros de calidad sus clientes.</w:t>
      </w:r>
    </w:p>
    <w:p w14:paraId="7841EED0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¿Cómo impacta FATCA en BACS Administradora de Activos SA?</w:t>
      </w:r>
    </w:p>
    <w:p w14:paraId="1473A298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Nos hemos registrado ante el IRS, en virtud del cual debemos obtener y verificar cierta</w:t>
      </w:r>
    </w:p>
    <w:p w14:paraId="0776B7BC" w14:textId="0813E77C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información de nuestros clientes, reportar a la ARCA determinada información de clientes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 xml:space="preserve">estadounidenses y quién remitirá la </w:t>
      </w:r>
      <w:r w:rsidR="00BD304C">
        <w:rPr>
          <w:rFonts w:ascii="ArialMT" w:hAnsi="ArialMT" w:cs="ArialMT"/>
          <w:kern w:val="0"/>
        </w:rPr>
        <w:t>información</w:t>
      </w:r>
      <w:r>
        <w:rPr>
          <w:rFonts w:ascii="ArialMT" w:hAnsi="ArialMT" w:cs="ArialMT"/>
          <w:kern w:val="0"/>
        </w:rPr>
        <w:t xml:space="preserve"> al IRS.</w:t>
      </w:r>
    </w:p>
    <w:p w14:paraId="1576A3B5" w14:textId="4C4A45FC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ARCA requiere que revisemos nuestros procesos vigentes de aceptación de clientes y que los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ajustemos en función de las regulaciones, en la medida que corresponda.</w:t>
      </w:r>
    </w:p>
    <w:p w14:paraId="03730E6E" w14:textId="7CBB28F3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</w:t>
      </w:r>
      <w:r w:rsidR="00BD304C">
        <w:rPr>
          <w:rFonts w:ascii="Arial-BoldMT" w:hAnsi="Arial-BoldMT" w:cs="Arial-BoldMT"/>
          <w:b/>
          <w:bCs/>
          <w:kern w:val="0"/>
        </w:rPr>
        <w:t>Cuándo</w:t>
      </w:r>
      <w:r>
        <w:rPr>
          <w:rFonts w:ascii="Arial-BoldMT" w:hAnsi="Arial-BoldMT" w:cs="Arial-BoldMT"/>
          <w:b/>
          <w:bCs/>
          <w:kern w:val="0"/>
        </w:rPr>
        <w:t xml:space="preserve"> comienzan las retenciones por FATCA?</w:t>
      </w:r>
    </w:p>
    <w:p w14:paraId="7A41831D" w14:textId="47379430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Las retenciones de FATCA sobre ingresos de fuente estadounidense tales como intereses,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dividendos, primas, anualidades, comenzarán a partir del 1 de Julio de 2014. Las retenciones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sobre los resultados brutos por venta o retenciones de activos que generen dividendos o</w:t>
      </w:r>
      <w:r w:rsidR="007C0DA6">
        <w:rPr>
          <w:rFonts w:ascii="ArialMT" w:hAnsi="ArialMT" w:cs="ArialMT"/>
          <w:kern w:val="0"/>
        </w:rPr>
        <w:t xml:space="preserve"> </w:t>
      </w:r>
      <w:r w:rsidR="00BD304C">
        <w:rPr>
          <w:rFonts w:ascii="ArialMT" w:hAnsi="ArialMT" w:cs="ArialMT"/>
          <w:kern w:val="0"/>
        </w:rPr>
        <w:t>intereses</w:t>
      </w:r>
      <w:r>
        <w:rPr>
          <w:rFonts w:ascii="ArialMT" w:hAnsi="ArialMT" w:cs="ArialMT"/>
          <w:kern w:val="0"/>
        </w:rPr>
        <w:t xml:space="preserve"> comenzarán a partir del 1 de enero de 2017. Adicionalmente, las retenciones sobre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pagos “pass through” extranjeros no comenzarán antes del 1 de enero de 2017. Debe señalarse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que las retenciones se efectuarán únicamente sobre aquellos clientes que, siendo identificados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como personas estadounidenses, no acepten suministrar la documentación fiscal requerida y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sobre instituciones financieras no participantes.</w:t>
      </w:r>
    </w:p>
    <w:p w14:paraId="3E4FD643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¿Qué implica para los clientes?</w:t>
      </w:r>
    </w:p>
    <w:p w14:paraId="0FB1AE29" w14:textId="0C980AB9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De acuerdo a lo establecido por el IRS, FATCA entró en vigencia el 1 de Julio de 2014. Esta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ley requiere que determinemos el status FATCA de clientes nuevos a partir de esa fecha, antes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de aceptarlos como clientes. Para los clientes existentes también se deberá determinar el status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FATCA, con lo cual les solicitaremos (en la medida que ello sea necesario) información para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documentar su status en los próximos meses.</w:t>
      </w:r>
    </w:p>
    <w:p w14:paraId="12AFB982" w14:textId="14F5E65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El reporte de cuentas de personas estadounidenses al IRS está previsto que comience en</w:t>
      </w:r>
      <w:r w:rsidR="007C0DA6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Marzo de 2015 correspondiente al año 2014.</w:t>
      </w:r>
    </w:p>
    <w:p w14:paraId="7A6C7861" w14:textId="77777777" w:rsidR="00504ED0" w:rsidRDefault="00504ED0" w:rsidP="00504ED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Favor contactar a su asesor tributario si tiene preguntas específicas sobre impuestos</w:t>
      </w:r>
    </w:p>
    <w:p w14:paraId="46C4C693" w14:textId="48255CC5" w:rsidR="00504ED0" w:rsidRDefault="00504ED0" w:rsidP="00504ED0">
      <w:pPr>
        <w:jc w:val="both"/>
      </w:pPr>
      <w:r>
        <w:rPr>
          <w:rFonts w:ascii="ArialMT" w:hAnsi="ArialMT" w:cs="ArialMT"/>
          <w:kern w:val="0"/>
        </w:rPr>
        <w:t xml:space="preserve">estadounidenses o visite www.irs.gov por </w:t>
      </w:r>
      <w:r w:rsidR="00BD304C">
        <w:rPr>
          <w:rFonts w:ascii="ArialMT" w:hAnsi="ArialMT" w:cs="ArialMT"/>
          <w:kern w:val="0"/>
        </w:rPr>
        <w:t>más información</w:t>
      </w:r>
      <w:r>
        <w:rPr>
          <w:rFonts w:ascii="ArialMT" w:hAnsi="ArialMT" w:cs="ArialMT"/>
          <w:kern w:val="0"/>
        </w:rPr>
        <w:t>.</w:t>
      </w:r>
    </w:p>
    <w:sectPr w:rsidR="00504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5F29" w14:textId="77777777" w:rsidR="00504ED0" w:rsidRDefault="00504ED0" w:rsidP="00504ED0">
      <w:pPr>
        <w:spacing w:after="0" w:line="240" w:lineRule="auto"/>
      </w:pPr>
      <w:r>
        <w:separator/>
      </w:r>
    </w:p>
  </w:endnote>
  <w:endnote w:type="continuationSeparator" w:id="0">
    <w:p w14:paraId="57A0A181" w14:textId="77777777" w:rsidR="00504ED0" w:rsidRDefault="00504ED0" w:rsidP="005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8714" w14:textId="77777777" w:rsidR="00504ED0" w:rsidRDefault="00504ED0" w:rsidP="00504ED0">
      <w:pPr>
        <w:spacing w:after="0" w:line="240" w:lineRule="auto"/>
      </w:pPr>
      <w:r>
        <w:separator/>
      </w:r>
    </w:p>
  </w:footnote>
  <w:footnote w:type="continuationSeparator" w:id="0">
    <w:p w14:paraId="2744C583" w14:textId="77777777" w:rsidR="00504ED0" w:rsidRDefault="00504ED0" w:rsidP="005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841F" w14:textId="6F391F86" w:rsidR="00504ED0" w:rsidRDefault="00504ED0">
    <w:pPr>
      <w:pStyle w:val="Encabezado"/>
    </w:pPr>
    <w:r w:rsidRPr="00504ED0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0941639B" wp14:editId="0C905EFE">
          <wp:simplePos x="0" y="0"/>
          <wp:positionH relativeFrom="margin">
            <wp:posOffset>-781050</wp:posOffset>
          </wp:positionH>
          <wp:positionV relativeFrom="margin">
            <wp:posOffset>-833120</wp:posOffset>
          </wp:positionV>
          <wp:extent cx="1885315" cy="878205"/>
          <wp:effectExtent l="0" t="0" r="635" b="0"/>
          <wp:wrapSquare wrapText="bothSides"/>
          <wp:docPr id="1715457907" name="Imagen 171545790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673006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DCCDD" w14:textId="77777777" w:rsidR="00504ED0" w:rsidRDefault="00504E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D0"/>
    <w:rsid w:val="00504ED0"/>
    <w:rsid w:val="007C0DA6"/>
    <w:rsid w:val="008C4A9A"/>
    <w:rsid w:val="00BD304C"/>
    <w:rsid w:val="00D342F7"/>
    <w:rsid w:val="00F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E0663"/>
  <w15:chartTrackingRefBased/>
  <w15:docId w15:val="{0CCEBE1A-193D-4725-B8CD-8DA40D0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4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4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4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4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4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4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4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4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4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4E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4E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4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4E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4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4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4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4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4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4E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4E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4E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4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4E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4ED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4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ED0"/>
  </w:style>
  <w:style w:type="paragraph" w:styleId="Piedepgina">
    <w:name w:val="footer"/>
    <w:basedOn w:val="Normal"/>
    <w:link w:val="PiedepginaCar"/>
    <w:uiPriority w:val="99"/>
    <w:unhideWhenUsed/>
    <w:rsid w:val="00504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GONZALEZ</dc:creator>
  <cp:keywords/>
  <dc:description/>
  <cp:lastModifiedBy>SILVANA GONZALEZ</cp:lastModifiedBy>
  <cp:revision>4</cp:revision>
  <dcterms:created xsi:type="dcterms:W3CDTF">2025-07-24T16:05:00Z</dcterms:created>
  <dcterms:modified xsi:type="dcterms:W3CDTF">2025-07-24T16:17:00Z</dcterms:modified>
</cp:coreProperties>
</file>